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33045D">
      <w:pPr>
        <w:tabs>
          <w:tab w:val="left" w:pos="937"/>
        </w:tabs>
        <w:spacing w:after="120"/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4770" cy="40576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A85">
        <w:tab/>
      </w:r>
      <w:r w:rsidR="00206A85">
        <w:br w:type="textWrapping" w:clear="all"/>
      </w:r>
    </w:p>
    <w:p w:rsidR="00EF3C6B" w:rsidRPr="00EF3C6B" w:rsidRDefault="00EF3C6B" w:rsidP="0033045D">
      <w:pPr>
        <w:spacing w:after="120"/>
      </w:pPr>
      <w:r w:rsidRPr="00EF3C6B">
        <w:t>OBJAVA ZA MEDIJE</w:t>
      </w:r>
    </w:p>
    <w:p w:rsidR="00E23DD6" w:rsidRPr="000A696D" w:rsidRDefault="00E23DD6" w:rsidP="0033045D">
      <w:pPr>
        <w:rPr>
          <w:rFonts w:cstheme="minorHAnsi"/>
          <w:b/>
          <w:sz w:val="6"/>
          <w:szCs w:val="6"/>
          <w:lang w:eastAsia="hr-HR"/>
        </w:rPr>
      </w:pPr>
    </w:p>
    <w:p w:rsidR="0039187D" w:rsidRPr="00206A85" w:rsidRDefault="0039187D" w:rsidP="0033045D">
      <w:pPr>
        <w:rPr>
          <w:b/>
          <w:sz w:val="8"/>
          <w:szCs w:val="8"/>
        </w:rPr>
      </w:pPr>
    </w:p>
    <w:p w:rsidR="00847146" w:rsidRPr="00847146" w:rsidRDefault="00847146" w:rsidP="0033045D">
      <w:pPr>
        <w:spacing w:line="216" w:lineRule="auto"/>
        <w:jc w:val="center"/>
        <w:rPr>
          <w:b/>
          <w:sz w:val="21"/>
          <w:szCs w:val="21"/>
        </w:rPr>
      </w:pPr>
      <w:r w:rsidRPr="00847146">
        <w:rPr>
          <w:b/>
          <w:sz w:val="21"/>
          <w:szCs w:val="21"/>
        </w:rPr>
        <w:t xml:space="preserve">Poticanje proširenja infrastrukture za punjenje električnih vozila u središnjoj i istočnoj Europi </w:t>
      </w:r>
    </w:p>
    <w:p w:rsidR="00847146" w:rsidRDefault="00847146" w:rsidP="0033045D">
      <w:pPr>
        <w:spacing w:line="216" w:lineRule="auto"/>
        <w:jc w:val="center"/>
        <w:rPr>
          <w:b/>
        </w:rPr>
      </w:pPr>
    </w:p>
    <w:p w:rsidR="0039187D" w:rsidRDefault="00847146" w:rsidP="0033045D">
      <w:pPr>
        <w:spacing w:line="216" w:lineRule="auto"/>
        <w:jc w:val="center"/>
        <w:rPr>
          <w:b/>
        </w:rPr>
      </w:pPr>
      <w:r w:rsidRPr="00847146">
        <w:rPr>
          <w:b/>
        </w:rPr>
        <w:t xml:space="preserve">EUROPSKA KOMISIJA ĆE ODOBRITI NAJVEĆI IZNOS BESPOVRATNIH SREDSTAVA PROJEKTU E-MOBILNOSTI NEXT-E </w:t>
      </w:r>
    </w:p>
    <w:p w:rsidR="00847146" w:rsidRPr="0039187D" w:rsidRDefault="00847146" w:rsidP="0033045D">
      <w:pPr>
        <w:spacing w:line="216" w:lineRule="auto"/>
        <w:jc w:val="center"/>
        <w:rPr>
          <w:b/>
          <w:sz w:val="24"/>
          <w:szCs w:val="24"/>
        </w:rPr>
      </w:pPr>
    </w:p>
    <w:p w:rsidR="0039187D" w:rsidRPr="00206A85" w:rsidRDefault="0044117E" w:rsidP="0033045D">
      <w:pPr>
        <w:spacing w:line="216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ZAGREB, 10</w:t>
      </w:r>
      <w:r w:rsidR="0039187D" w:rsidRPr="00206A85">
        <w:rPr>
          <w:sz w:val="21"/>
          <w:szCs w:val="21"/>
        </w:rPr>
        <w:t xml:space="preserve">. </w:t>
      </w:r>
      <w:r>
        <w:rPr>
          <w:sz w:val="21"/>
          <w:szCs w:val="21"/>
        </w:rPr>
        <w:t>SRPNJA</w:t>
      </w:r>
      <w:r w:rsidR="0039187D" w:rsidRPr="00206A85">
        <w:rPr>
          <w:sz w:val="21"/>
          <w:szCs w:val="21"/>
        </w:rPr>
        <w:t xml:space="preserve"> 2017. –</w:t>
      </w:r>
      <w:r w:rsidR="00206A85" w:rsidRPr="00206A85">
        <w:rPr>
          <w:sz w:val="21"/>
          <w:szCs w:val="21"/>
        </w:rPr>
        <w:t xml:space="preserve"> </w:t>
      </w:r>
      <w:r w:rsidR="00206A85" w:rsidRPr="00206A85">
        <w:rPr>
          <w:b/>
          <w:sz w:val="21"/>
          <w:szCs w:val="21"/>
        </w:rPr>
        <w:t xml:space="preserve">Europska komisija je </w:t>
      </w:r>
      <w:r>
        <w:rPr>
          <w:b/>
          <w:sz w:val="21"/>
          <w:szCs w:val="21"/>
        </w:rPr>
        <w:t>krajem</w:t>
      </w:r>
      <w:r w:rsidR="008D669C">
        <w:rPr>
          <w:b/>
          <w:sz w:val="21"/>
          <w:szCs w:val="21"/>
        </w:rPr>
        <w:t xml:space="preserve"> lipnja </w:t>
      </w:r>
      <w:r w:rsidR="00206A85" w:rsidRPr="00206A85">
        <w:rPr>
          <w:b/>
          <w:sz w:val="21"/>
          <w:szCs w:val="21"/>
        </w:rPr>
        <w:t>objavila da će financirati projekt NEXT-E u okviru svog programa Instrument za povezivanje Europe (CEF)</w:t>
      </w:r>
      <w:r w:rsidR="008D669C">
        <w:rPr>
          <w:b/>
          <w:sz w:val="21"/>
          <w:szCs w:val="21"/>
        </w:rPr>
        <w:t>,</w:t>
      </w:r>
      <w:r w:rsidR="00206A85" w:rsidRPr="00206A85">
        <w:rPr>
          <w:b/>
          <w:sz w:val="21"/>
          <w:szCs w:val="21"/>
        </w:rPr>
        <w:t xml:space="preserve"> u preporučenom iznosu od 18,84 milijuna eura u vidu bespovratnih sredstava odobrenih za CEF projekt električnih vozila.</w:t>
      </w:r>
      <w:bookmarkStart w:id="0" w:name="_GoBack"/>
      <w:bookmarkEnd w:id="0"/>
    </w:p>
    <w:p w:rsidR="0039187D" w:rsidRPr="00206A85" w:rsidRDefault="0039187D" w:rsidP="0033045D">
      <w:pPr>
        <w:spacing w:line="216" w:lineRule="auto"/>
        <w:jc w:val="both"/>
        <w:rPr>
          <w:b/>
          <w:sz w:val="21"/>
          <w:szCs w:val="21"/>
        </w:rPr>
      </w:pPr>
      <w:r w:rsidRPr="00206A85">
        <w:rPr>
          <w:b/>
          <w:sz w:val="21"/>
          <w:szCs w:val="21"/>
        </w:rPr>
        <w:t xml:space="preserve"> </w:t>
      </w: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  <w:r w:rsidRPr="00847146">
        <w:rPr>
          <w:sz w:val="21"/>
          <w:szCs w:val="21"/>
        </w:rPr>
        <w:t xml:space="preserve">Kao dio projekta NEXT-E, postavit će se 222 </w:t>
      </w:r>
      <w:proofErr w:type="spellStart"/>
      <w:r w:rsidRPr="00847146">
        <w:rPr>
          <w:sz w:val="21"/>
          <w:szCs w:val="21"/>
        </w:rPr>
        <w:t>multi</w:t>
      </w:r>
      <w:proofErr w:type="spellEnd"/>
      <w:r w:rsidRPr="00847146">
        <w:rPr>
          <w:sz w:val="21"/>
          <w:szCs w:val="21"/>
        </w:rPr>
        <w:t xml:space="preserve"> standardne brze punionice (50 kW) i 30 </w:t>
      </w:r>
      <w:proofErr w:type="spellStart"/>
      <w:r w:rsidRPr="00847146">
        <w:rPr>
          <w:sz w:val="21"/>
          <w:szCs w:val="21"/>
        </w:rPr>
        <w:t>ultra</w:t>
      </w:r>
      <w:proofErr w:type="spellEnd"/>
      <w:r w:rsidRPr="00847146">
        <w:rPr>
          <w:sz w:val="21"/>
          <w:szCs w:val="21"/>
        </w:rPr>
        <w:t xml:space="preserve"> brzih punionica (150-350 kW) uzduž koridora osnovne mreže i nekoliko osnovnih koridora Transeuropske prometne mreže (TEN-T), čime će se stvoriti ključna infrastruktura punionica električnih vozila u Češkoj, Slovačkoj, Mađarskoj, Sloveniji, Hrvatskoj i Rumunjskoj. Projekt je odabran između 152 druga uspješna transportna projekta od početnih 349 koji su aplicirali za ukupan iznos bespovratnih sredstava od 7,5 milijarde eura.</w:t>
      </w: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  <w:r w:rsidRPr="00847146">
        <w:rPr>
          <w:sz w:val="21"/>
          <w:szCs w:val="21"/>
        </w:rPr>
        <w:t>Projekt NEXT-E predstavlja do</w:t>
      </w:r>
      <w:r>
        <w:rPr>
          <w:sz w:val="21"/>
          <w:szCs w:val="21"/>
        </w:rPr>
        <w:t>bar model jedinstvene suradnje četiri</w:t>
      </w:r>
      <w:r w:rsidRPr="00847146">
        <w:rPr>
          <w:sz w:val="21"/>
          <w:szCs w:val="21"/>
        </w:rPr>
        <w:t xml:space="preserve"> vodeće grupe iz sektora električne energije, nafte i plina koji su ujedinili snage s proizvođačima opreme (proizvođačima automobila) kako bi stvorili </w:t>
      </w:r>
      <w:proofErr w:type="spellStart"/>
      <w:r w:rsidRPr="00847146">
        <w:rPr>
          <w:sz w:val="21"/>
          <w:szCs w:val="21"/>
        </w:rPr>
        <w:t>interoperabilnu</w:t>
      </w:r>
      <w:proofErr w:type="spellEnd"/>
      <w:r w:rsidRPr="00847146">
        <w:rPr>
          <w:sz w:val="21"/>
          <w:szCs w:val="21"/>
        </w:rPr>
        <w:t xml:space="preserve"> i </w:t>
      </w:r>
      <w:proofErr w:type="spellStart"/>
      <w:r w:rsidRPr="00847146">
        <w:rPr>
          <w:sz w:val="21"/>
          <w:szCs w:val="21"/>
        </w:rPr>
        <w:t>nediskriminirajuću</w:t>
      </w:r>
      <w:proofErr w:type="spellEnd"/>
      <w:r w:rsidRPr="00847146">
        <w:rPr>
          <w:sz w:val="21"/>
          <w:szCs w:val="21"/>
        </w:rPr>
        <w:t xml:space="preserve"> mrežu punionica električnih vozila kao održivu alternativu postojećoj ICI mreži (mreži vozila s unutarnjih izgaranjem). Konzorcij se sastoji od društava E.ON grupe (</w:t>
      </w:r>
      <w:proofErr w:type="spellStart"/>
      <w:r w:rsidRPr="00847146">
        <w:rPr>
          <w:sz w:val="21"/>
          <w:szCs w:val="21"/>
        </w:rPr>
        <w:t>Zapadoslovenská</w:t>
      </w:r>
      <w:proofErr w:type="spellEnd"/>
      <w:r w:rsidRPr="00847146">
        <w:rPr>
          <w:sz w:val="21"/>
          <w:szCs w:val="21"/>
        </w:rPr>
        <w:t xml:space="preserve"> energetika iz Slovačke, E.ON Češka Republika, E.ON Mađarska, E.ON Rumunjska), društava MOL grupe (koje predstavljaju podružnice u svih šest država), Hrvatske elektroprivrede u Hrvatskoj, PETROL-a (u Sloveniji i Hrvatskoj), </w:t>
      </w:r>
      <w:proofErr w:type="spellStart"/>
      <w:r w:rsidRPr="00847146">
        <w:rPr>
          <w:sz w:val="21"/>
          <w:szCs w:val="21"/>
        </w:rPr>
        <w:t>Nissana</w:t>
      </w:r>
      <w:proofErr w:type="spellEnd"/>
      <w:r w:rsidRPr="00847146">
        <w:rPr>
          <w:sz w:val="21"/>
          <w:szCs w:val="21"/>
        </w:rPr>
        <w:t xml:space="preserve"> i BMW-a.</w:t>
      </w: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  <w:r w:rsidRPr="00847146">
        <w:rPr>
          <w:sz w:val="21"/>
          <w:szCs w:val="21"/>
        </w:rPr>
        <w:t>Konzorcij NEXT-E će poduprijeti nacionalne planove za e-mobilnost kao i strategiju širenja električnih vozila u regiji, razvijajući održiva rješenja za punjenje vozila, procjenjujući integraciju obnovljive energije i uvodeći inovativne poslovne procese i potrošačke pakete u cilju smanjenja ovisnosti o nafti i doprinoseći smanjenju emisija CO</w:t>
      </w:r>
      <w:r w:rsidRPr="00847146">
        <w:rPr>
          <w:sz w:val="21"/>
          <w:szCs w:val="21"/>
          <w:vertAlign w:val="subscript"/>
        </w:rPr>
        <w:t>2</w:t>
      </w:r>
      <w:r w:rsidRPr="00847146">
        <w:rPr>
          <w:sz w:val="21"/>
          <w:szCs w:val="21"/>
        </w:rPr>
        <w:t xml:space="preserve"> u Europi. Uspostavit će se uska suradnja s ministarstvima transporta, Europskom komisijom i kreatorima politike kako bi se osigurala primjena naučenog na učinkovito </w:t>
      </w:r>
      <w:proofErr w:type="spellStart"/>
      <w:r w:rsidRPr="00847146">
        <w:rPr>
          <w:sz w:val="21"/>
          <w:szCs w:val="21"/>
        </w:rPr>
        <w:t>pan</w:t>
      </w:r>
      <w:proofErr w:type="spellEnd"/>
      <w:r w:rsidRPr="00847146">
        <w:rPr>
          <w:sz w:val="21"/>
          <w:szCs w:val="21"/>
        </w:rPr>
        <w:t>-kohezijsko uvođenje infrastrukture za punjenje električnih vozila.</w:t>
      </w: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  <w:r w:rsidRPr="00847146">
        <w:rPr>
          <w:sz w:val="21"/>
          <w:szCs w:val="21"/>
        </w:rPr>
        <w:t xml:space="preserve">Projekt će predstaviti nacrt najbolje strategije i najučinkovitijih pristupa infrastrukturi za punjenje električnih vozila i korištenju usluga, podržati shvaćanje o korištenju električnih vozila u regiji, spajajući zapadnu i </w:t>
      </w:r>
      <w:proofErr w:type="spellStart"/>
      <w:r w:rsidRPr="00847146">
        <w:rPr>
          <w:sz w:val="21"/>
          <w:szCs w:val="21"/>
        </w:rPr>
        <w:t>pan</w:t>
      </w:r>
      <w:proofErr w:type="spellEnd"/>
      <w:r w:rsidRPr="00847146">
        <w:rPr>
          <w:sz w:val="21"/>
          <w:szCs w:val="21"/>
        </w:rPr>
        <w:t xml:space="preserve">-kohezijsku Europu te predstavljajući besprijekorno, ugodno iskustvo vožnje na dugim relacijama u potpunosti temeljeno na električnoj energiji. Nakon detaljnih mrežnih planova i ICT studija slijedit će pilot projekt postavljanja brzih i </w:t>
      </w:r>
      <w:proofErr w:type="spellStart"/>
      <w:r w:rsidRPr="00847146">
        <w:rPr>
          <w:sz w:val="21"/>
          <w:szCs w:val="21"/>
        </w:rPr>
        <w:t>ultra</w:t>
      </w:r>
      <w:proofErr w:type="spellEnd"/>
      <w:r w:rsidRPr="00847146">
        <w:rPr>
          <w:sz w:val="21"/>
          <w:szCs w:val="21"/>
        </w:rPr>
        <w:t xml:space="preserve"> brzih punionica u dvije faze, što će rezultirati </w:t>
      </w:r>
      <w:proofErr w:type="spellStart"/>
      <w:r w:rsidRPr="00847146">
        <w:rPr>
          <w:sz w:val="21"/>
          <w:szCs w:val="21"/>
        </w:rPr>
        <w:t>pan</w:t>
      </w:r>
      <w:proofErr w:type="spellEnd"/>
      <w:r w:rsidRPr="00847146">
        <w:rPr>
          <w:sz w:val="21"/>
          <w:szCs w:val="21"/>
        </w:rPr>
        <w:t>-kohezijskim planom i vodičem za široku upotrebu električnih vozila. Aktivnosti na projektu su započele 2017. godine višegodišnjim djelovanjima na međunarodnom planu koji se planiraju završiti do 31. prosinca 2020.</w:t>
      </w: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</w:p>
    <w:p w:rsidR="00847146" w:rsidRPr="00847146" w:rsidRDefault="00847146" w:rsidP="0033045D">
      <w:pPr>
        <w:shd w:val="clear" w:color="auto" w:fill="FDFDFD"/>
        <w:spacing w:line="216" w:lineRule="auto"/>
        <w:jc w:val="both"/>
        <w:rPr>
          <w:sz w:val="21"/>
          <w:szCs w:val="21"/>
        </w:rPr>
      </w:pPr>
      <w:r w:rsidRPr="00847146">
        <w:rPr>
          <w:sz w:val="21"/>
          <w:szCs w:val="21"/>
        </w:rPr>
        <w:t xml:space="preserve">Izvršna agencija za inovativnost i mreže Europske komisije (INEA) je </w:t>
      </w:r>
      <w:r>
        <w:rPr>
          <w:sz w:val="21"/>
          <w:szCs w:val="21"/>
        </w:rPr>
        <w:t xml:space="preserve">23. lipnja 2017. godine </w:t>
      </w:r>
      <w:r w:rsidRPr="00847146">
        <w:rPr>
          <w:sz w:val="21"/>
          <w:szCs w:val="21"/>
        </w:rPr>
        <w:t>odabrala NEXT-E za projekt koji će se financirati temeljem javnog poziva za dostavu prijedloga projekata od 13. listopada 2016.</w:t>
      </w:r>
      <w:r>
        <w:rPr>
          <w:sz w:val="21"/>
          <w:szCs w:val="21"/>
        </w:rPr>
        <w:t xml:space="preserve"> </w:t>
      </w:r>
      <w:r w:rsidRPr="00847146">
        <w:rPr>
          <w:sz w:val="21"/>
          <w:szCs w:val="21"/>
        </w:rPr>
        <w:t xml:space="preserve">U službenoj ocjeni navodi se sljedeće: </w:t>
      </w:r>
      <w:r w:rsidRPr="00847146">
        <w:rPr>
          <w:i/>
          <w:sz w:val="21"/>
          <w:szCs w:val="21"/>
        </w:rPr>
        <w:t>'Značenje predloženog projekta u njegovom smanjenom obliku je vrlo velika, njime se promovira smanjenje emisija CO</w:t>
      </w:r>
      <w:r w:rsidRPr="00847146">
        <w:rPr>
          <w:i/>
          <w:sz w:val="21"/>
          <w:szCs w:val="21"/>
          <w:vertAlign w:val="subscript"/>
        </w:rPr>
        <w:t>2</w:t>
      </w:r>
      <w:r w:rsidRPr="00847146">
        <w:rPr>
          <w:i/>
          <w:sz w:val="21"/>
          <w:szCs w:val="21"/>
        </w:rPr>
        <w:t xml:space="preserve">, održiva mobilnost i </w:t>
      </w:r>
      <w:proofErr w:type="spellStart"/>
      <w:r w:rsidRPr="00847146">
        <w:rPr>
          <w:i/>
          <w:sz w:val="21"/>
          <w:szCs w:val="21"/>
        </w:rPr>
        <w:t>intermodalna</w:t>
      </w:r>
      <w:proofErr w:type="spellEnd"/>
      <w:r w:rsidRPr="00847146">
        <w:rPr>
          <w:i/>
          <w:sz w:val="21"/>
          <w:szCs w:val="21"/>
        </w:rPr>
        <w:t xml:space="preserve"> </w:t>
      </w:r>
      <w:proofErr w:type="spellStart"/>
      <w:r w:rsidRPr="00847146">
        <w:rPr>
          <w:i/>
          <w:sz w:val="21"/>
          <w:szCs w:val="21"/>
        </w:rPr>
        <w:t>povezivost</w:t>
      </w:r>
      <w:proofErr w:type="spellEnd"/>
      <w:r w:rsidRPr="00847146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</w:t>
      </w:r>
      <w:r w:rsidRPr="00847146">
        <w:rPr>
          <w:i/>
          <w:sz w:val="21"/>
          <w:szCs w:val="21"/>
        </w:rPr>
        <w:t>Projekt je razrađen te se očekuje ostvarivanje pozitivnog učinka i rezultata kao čvrstog temelja za donošenje odluke i strategije o budućem razvoju cjelovite mrežne infrastrukture za punjenje električnih vozila u istočnoj Europi</w:t>
      </w:r>
      <w:r w:rsidRPr="00847146">
        <w:rPr>
          <w:sz w:val="21"/>
          <w:szCs w:val="21"/>
        </w:rPr>
        <w:t>.'</w:t>
      </w:r>
      <w:r>
        <w:rPr>
          <w:sz w:val="21"/>
          <w:szCs w:val="21"/>
        </w:rPr>
        <w:t xml:space="preserve"> </w:t>
      </w:r>
      <w:r w:rsidRPr="00847146">
        <w:rPr>
          <w:sz w:val="21"/>
          <w:szCs w:val="21"/>
        </w:rPr>
        <w:t>Sredstva su odobrena u okviru Instrumenta za povezivanje Europe (CEF), financijskog mehanizma EU-a kojim se podupiru infrastrukturne mreže. Komisija predlaže ulaganje 2,7 milijardi eura u 152 ključna transportna projekta kojima se podupire konkurentna, čista i povezana mobilnost u Europi.</w:t>
      </w:r>
    </w:p>
    <w:sectPr w:rsidR="00847146" w:rsidRPr="00847146" w:rsidSect="00206A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E2" w:rsidRDefault="00870AE2" w:rsidP="00EF3C6B">
      <w:r>
        <w:separator/>
      </w:r>
    </w:p>
  </w:endnote>
  <w:endnote w:type="continuationSeparator" w:id="0">
    <w:p w:rsidR="00870AE2" w:rsidRDefault="00870AE2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E2" w:rsidRDefault="00870AE2" w:rsidP="00EF3C6B">
      <w:r>
        <w:separator/>
      </w:r>
    </w:p>
  </w:footnote>
  <w:footnote w:type="continuationSeparator" w:id="0">
    <w:p w:rsidR="00870AE2" w:rsidRDefault="00870AE2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602F9"/>
    <w:rsid w:val="00061C02"/>
    <w:rsid w:val="00070F66"/>
    <w:rsid w:val="000930DB"/>
    <w:rsid w:val="00096EB2"/>
    <w:rsid w:val="000A134F"/>
    <w:rsid w:val="000A696D"/>
    <w:rsid w:val="000A7115"/>
    <w:rsid w:val="000B17ED"/>
    <w:rsid w:val="000C7D1A"/>
    <w:rsid w:val="000E13C8"/>
    <w:rsid w:val="000E45DC"/>
    <w:rsid w:val="00102C22"/>
    <w:rsid w:val="0011294F"/>
    <w:rsid w:val="00135898"/>
    <w:rsid w:val="00141E80"/>
    <w:rsid w:val="001710CF"/>
    <w:rsid w:val="00172CE7"/>
    <w:rsid w:val="001B4068"/>
    <w:rsid w:val="001C0421"/>
    <w:rsid w:val="001E300D"/>
    <w:rsid w:val="001E75F9"/>
    <w:rsid w:val="001F1D5D"/>
    <w:rsid w:val="001F4055"/>
    <w:rsid w:val="00206A85"/>
    <w:rsid w:val="00207CC6"/>
    <w:rsid w:val="002524D4"/>
    <w:rsid w:val="002D14E4"/>
    <w:rsid w:val="002D3B70"/>
    <w:rsid w:val="00325C20"/>
    <w:rsid w:val="0033045D"/>
    <w:rsid w:val="003320B3"/>
    <w:rsid w:val="0039187D"/>
    <w:rsid w:val="003A12BF"/>
    <w:rsid w:val="003B32CC"/>
    <w:rsid w:val="003D292F"/>
    <w:rsid w:val="003D5091"/>
    <w:rsid w:val="003E7B8E"/>
    <w:rsid w:val="003F2E90"/>
    <w:rsid w:val="0044117E"/>
    <w:rsid w:val="00492A8A"/>
    <w:rsid w:val="004A5F1A"/>
    <w:rsid w:val="004A7E69"/>
    <w:rsid w:val="004C1624"/>
    <w:rsid w:val="004D1921"/>
    <w:rsid w:val="004D38F2"/>
    <w:rsid w:val="004E5A34"/>
    <w:rsid w:val="004E7642"/>
    <w:rsid w:val="00511C2D"/>
    <w:rsid w:val="005357D4"/>
    <w:rsid w:val="005A158F"/>
    <w:rsid w:val="005B00F2"/>
    <w:rsid w:val="005B2105"/>
    <w:rsid w:val="005D4B91"/>
    <w:rsid w:val="0061525C"/>
    <w:rsid w:val="006171A7"/>
    <w:rsid w:val="00626E48"/>
    <w:rsid w:val="0066393D"/>
    <w:rsid w:val="00670699"/>
    <w:rsid w:val="006717D0"/>
    <w:rsid w:val="006943B2"/>
    <w:rsid w:val="006D0741"/>
    <w:rsid w:val="006F3E64"/>
    <w:rsid w:val="00730BF7"/>
    <w:rsid w:val="0074268B"/>
    <w:rsid w:val="007612E2"/>
    <w:rsid w:val="007933D0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47146"/>
    <w:rsid w:val="008541B8"/>
    <w:rsid w:val="00870AE2"/>
    <w:rsid w:val="008732E8"/>
    <w:rsid w:val="008D669C"/>
    <w:rsid w:val="009552A2"/>
    <w:rsid w:val="00997AB4"/>
    <w:rsid w:val="009B5B6C"/>
    <w:rsid w:val="009C7650"/>
    <w:rsid w:val="009E5291"/>
    <w:rsid w:val="00A22124"/>
    <w:rsid w:val="00A45494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44DFC"/>
    <w:rsid w:val="00B5410F"/>
    <w:rsid w:val="00B607B9"/>
    <w:rsid w:val="00B86A8A"/>
    <w:rsid w:val="00BA0A22"/>
    <w:rsid w:val="00BA23FD"/>
    <w:rsid w:val="00BA7F4C"/>
    <w:rsid w:val="00BD4DB4"/>
    <w:rsid w:val="00BF1004"/>
    <w:rsid w:val="00BF1096"/>
    <w:rsid w:val="00C01F2C"/>
    <w:rsid w:val="00C20E10"/>
    <w:rsid w:val="00C224BF"/>
    <w:rsid w:val="00C40C53"/>
    <w:rsid w:val="00C7168C"/>
    <w:rsid w:val="00C91CFA"/>
    <w:rsid w:val="00CB1D97"/>
    <w:rsid w:val="00CB5513"/>
    <w:rsid w:val="00CC392C"/>
    <w:rsid w:val="00CC3986"/>
    <w:rsid w:val="00CE3C5D"/>
    <w:rsid w:val="00D05F96"/>
    <w:rsid w:val="00D4209A"/>
    <w:rsid w:val="00D568FB"/>
    <w:rsid w:val="00D64641"/>
    <w:rsid w:val="00D64E6A"/>
    <w:rsid w:val="00D70EFC"/>
    <w:rsid w:val="00D954E6"/>
    <w:rsid w:val="00DB17B0"/>
    <w:rsid w:val="00DC56F6"/>
    <w:rsid w:val="00DE0DD9"/>
    <w:rsid w:val="00DE43AC"/>
    <w:rsid w:val="00E00502"/>
    <w:rsid w:val="00E23DD6"/>
    <w:rsid w:val="00E431BF"/>
    <w:rsid w:val="00E5612F"/>
    <w:rsid w:val="00EC28DC"/>
    <w:rsid w:val="00ED624B"/>
    <w:rsid w:val="00EE002B"/>
    <w:rsid w:val="00EE4CDC"/>
    <w:rsid w:val="00EF2AE4"/>
    <w:rsid w:val="00EF3C6B"/>
    <w:rsid w:val="00F15DBE"/>
    <w:rsid w:val="00F77AB4"/>
    <w:rsid w:val="00FA14A3"/>
    <w:rsid w:val="00FA2190"/>
    <w:rsid w:val="00FB18D8"/>
    <w:rsid w:val="00FB4F5C"/>
    <w:rsid w:val="00FB53C5"/>
    <w:rsid w:val="00FB5629"/>
    <w:rsid w:val="00FD2222"/>
    <w:rsid w:val="00FE7A58"/>
    <w:rsid w:val="00FF0986"/>
    <w:rsid w:val="00FF2B7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E3D4-7C5A-417C-8908-8164EFEC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2016-06-07T11:05:00Z</cp:lastPrinted>
  <dcterms:created xsi:type="dcterms:W3CDTF">2017-07-11T13:29:00Z</dcterms:created>
  <dcterms:modified xsi:type="dcterms:W3CDTF">2017-07-11T13:29:00Z</dcterms:modified>
</cp:coreProperties>
</file>